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adjustRightInd w:val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Obrazloženje Prvih izmjena i dopuna financijskog plana za 2024.god.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 w:val="0"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/>
          <w:b/>
          <w:bCs w:val="0"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/>
          <w:b/>
          <w:bCs w:val="0"/>
          <w:sz w:val="22"/>
          <w:szCs w:val="22"/>
        </w:rPr>
      </w:pPr>
    </w:p>
    <w:p>
      <w:pPr>
        <w:autoSpaceDE w:val="0"/>
        <w:autoSpaceDN w:val="0"/>
        <w:adjustRightInd w:val="0"/>
        <w:rPr>
          <w:rFonts w:ascii="Times New Roman" w:hAnsi="Times New Roman"/>
          <w:b/>
          <w:bCs w:val="0"/>
          <w:sz w:val="22"/>
          <w:szCs w:val="22"/>
        </w:rPr>
      </w:pPr>
      <w:r>
        <w:rPr>
          <w:rFonts w:ascii="Times New Roman" w:hAnsi="Times New Roman"/>
          <w:b/>
          <w:bCs w:val="0"/>
          <w:sz w:val="22"/>
          <w:szCs w:val="22"/>
        </w:rPr>
        <w:t>Upravni odjel za predškolski odgoj, školstvo i društvene djelatnosti</w:t>
      </w:r>
    </w:p>
    <w:p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Naziv programa:</w:t>
      </w:r>
    </w:p>
    <w:p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Javne potrebe u predškolskom odgoju – Redovna djelatnost vrtića.</w:t>
      </w:r>
    </w:p>
    <w:p>
      <w:pPr>
        <w:autoSpaceDE w:val="0"/>
        <w:autoSpaceDN w:val="0"/>
        <w:adjustRightInd w:val="0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86"/>
      </w:tblGrid>
      <w:tr>
        <w:tc>
          <w:tcPr>
            <w:tcW w:w="9286" w:type="dxa"/>
            <w:shd w:val="clear" w:color="auto" w:fill="C0C0C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Potrebna sredstava za provođenje programa: </w:t>
            </w:r>
          </w:p>
        </w:tc>
      </w:tr>
    </w:tbl>
    <w:p>
      <w:pPr>
        <w:pStyle w:val="StandardWeb"/>
        <w:spacing w:before="0" w:beforeAutospacing="0" w:after="0" w:afterAutospacing="0"/>
        <w:rPr>
          <w:b/>
          <w:i/>
          <w:sz w:val="18"/>
          <w:szCs w:val="18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Najznačajniju stavku </w:t>
      </w:r>
      <w:r>
        <w:rPr>
          <w:rFonts w:ascii="Times New Roman" w:hAnsi="Times New Roman"/>
          <w:b/>
        </w:rPr>
        <w:t>prihoda</w:t>
      </w:r>
      <w:r>
        <w:rPr>
          <w:rFonts w:ascii="Times New Roman" w:hAnsi="Times New Roman"/>
        </w:rPr>
        <w:t xml:space="preserve"> poslovanja čine prihodi za posebne namjene – sufinanciranje cijene usluge koju uplaćuju roditelji djece propisane Odlukom o načinu ostvarivanja prednosti pri upisu djece i mjerilima za određivanje visine roditeljskih uplata za ostvarivanje programa predškolskog odgoja i obrazovanja u dječjim vrtićima kojima je osnivač Grad Velika Gorica.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Prihodi za posebne namjene u odnosu na originalni plan ostaju nepromijenjeni.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Ukupno povećanje u iznosu 32.445,00 eura odnosi se na: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- višak prihoda iz 2023. godine 32.085,00 eura,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- ostvareni prihodi od donacija povećani sukladno izvršenju za 270,00 eura te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- ostvareni ostali nespomenuti prihodi povećani sukladno izvršenju za 90,00 eura.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U strukturi</w:t>
      </w:r>
      <w:r>
        <w:rPr>
          <w:rFonts w:ascii="Times New Roman" w:hAnsi="Times New Roman"/>
          <w:b/>
        </w:rPr>
        <w:t xml:space="preserve"> rashoda</w:t>
      </w:r>
      <w:r>
        <w:rPr>
          <w:rFonts w:ascii="Times New Roman" w:hAnsi="Times New Roman"/>
        </w:rPr>
        <w:t xml:space="preserve"> promjene se odnose na povećanje u iznosu od 32.445,00 eura sukladno odobrenim Suglasnostima tijekom godine po kojima su se koristila sredstva ostvarenih viškova iz namjenskih i vlastitih prihoda te ostvarenom izvršenju. </w:t>
      </w:r>
    </w:p>
    <w:p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ajveća promjena odnosi se na rashode za zaposlene koji se planiraju prema izmjeni u iznosu 2.</w:t>
      </w:r>
      <w:r>
        <w:rPr>
          <w:rFonts w:ascii="Times New Roman" w:hAnsi="Times New Roman"/>
        </w:rPr>
        <w:t>98</w:t>
      </w: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</w:rPr>
        <w:t xml:space="preserve">,00€ što predstavlja povećanje u iznosu </w:t>
      </w:r>
      <w:r>
        <w:rPr>
          <w:rFonts w:ascii="Times New Roman" w:hAnsi="Times New Roman"/>
        </w:rPr>
        <w:t>585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00,00 €.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Povećanje u iznosu od </w:t>
      </w:r>
      <w:r>
        <w:rPr>
          <w:rFonts w:ascii="Times New Roman" w:hAnsi="Times New Roman"/>
        </w:rPr>
        <w:t>585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00,00 € odnosi se na povećanje rashoda za plaće i doprinose na plaće sukladno Kolektivno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ugovor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za zaposlene u predškolskim ustanovama Grada Velika Gorica, sklopljen </w:t>
      </w:r>
      <w:r>
        <w:rPr>
          <w:rFonts w:ascii="Times New Roman" w:hAnsi="Times New Roman"/>
        </w:rPr>
        <w:t xml:space="preserve">u rujnu 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godine u kojem </w:t>
      </w:r>
      <w:r>
        <w:rPr>
          <w:rFonts w:ascii="Times New Roman" w:hAnsi="Times New Roman"/>
        </w:rPr>
        <w:t xml:space="preserve">je </w:t>
      </w:r>
      <w:r>
        <w:rPr>
          <w:rFonts w:ascii="Times New Roman" w:hAnsi="Times New Roman"/>
        </w:rPr>
        <w:t>definira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povećanje </w:t>
      </w:r>
      <w:r>
        <w:rPr>
          <w:rFonts w:ascii="Times New Roman" w:hAnsi="Times New Roman"/>
        </w:rPr>
        <w:t xml:space="preserve">osnovice za izračun plaća te </w:t>
      </w:r>
      <w:r>
        <w:rPr>
          <w:rFonts w:ascii="Times New Roman" w:hAnsi="Times New Roman"/>
        </w:rPr>
        <w:t xml:space="preserve">koeficijenata složenosti poslova radnih mjesta od </w:t>
      </w:r>
      <w:r>
        <w:rPr>
          <w:rFonts w:ascii="Times New Roman" w:hAnsi="Times New Roman"/>
        </w:rPr>
        <w:t xml:space="preserve">plaće za rujan 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 godine.</w:t>
      </w:r>
      <w:r>
        <w:rPr>
          <w:rFonts w:ascii="Times New Roman" w:hAnsi="Times New Roman"/>
        </w:rPr>
        <w:t>, te obračun i isplatu razlika plaća za ožujak do kolovoz 2024. godine.</w:t>
      </w:r>
    </w:p>
    <w:p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>
      <w:pPr>
        <w:pStyle w:val="Default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U Velikoj Gorici, 24.9.2024.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Default"/>
        <w:spacing w:line="276" w:lineRule="auto"/>
        <w:ind w:left="5664"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v.d. ravnateljica, </w:t>
      </w:r>
    </w:p>
    <w:p>
      <w:pPr>
        <w:pStyle w:val="Default"/>
        <w:spacing w:line="276" w:lineRule="auto"/>
        <w:ind w:left="5664"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Irena Kozmić, dipl.def.</w:t>
      </w:r>
      <w:bookmarkStart w:id="0" w:name="_GoBack"/>
      <w:bookmarkEnd w:id="0"/>
    </w:p>
    <w:sectPr>
      <w:footerReference w:type="even" r:id="rId7"/>
      <w:footerReference w:type="default" r:id="rId8"/>
      <w:footerReference w:type="first" r:id="rId9"/>
      <w:pgSz w:w="11906" w:h="16838"/>
      <w:pgMar w:top="1135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odnoje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odnoje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4C9F"/>
    <w:multiLevelType w:val="hybridMultilevel"/>
    <w:tmpl w:val="61D8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1135"/>
    <w:multiLevelType w:val="hybridMultilevel"/>
    <w:tmpl w:val="05A25C82"/>
    <w:lvl w:ilvl="0" w:tplc="B94655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726FD"/>
    <w:multiLevelType w:val="hybridMultilevel"/>
    <w:tmpl w:val="B562F1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8D25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CB2A6C"/>
    <w:multiLevelType w:val="hybridMultilevel"/>
    <w:tmpl w:val="4BFA251E"/>
    <w:lvl w:ilvl="0" w:tplc="DBAAB6B8">
      <w:start w:val="4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0F10F-52B2-4A66-85E2-A1973F83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center" w:pos="9356"/>
      </w:tabs>
    </w:pPr>
    <w:rPr>
      <w:color w:val="999999"/>
      <w:sz w:val="16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Arial" w:eastAsia="Times New Roman" w:hAnsi="Arial" w:cs="Times New Roman"/>
      <w:bCs/>
      <w:color w:val="999999"/>
      <w:sz w:val="16"/>
      <w:szCs w:val="24"/>
    </w:rPr>
  </w:style>
  <w:style w:type="character" w:styleId="Brojstranice">
    <w:name w:val="page number"/>
    <w:basedOn w:val="Zadanifontodlomka"/>
  </w:style>
  <w:style w:type="paragraph" w:styleId="Standard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/>
      <w:bCs w:val="0"/>
      <w:color w:val="auto"/>
      <w:sz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Velika Gorica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ivanab</dc:creator>
  <cp:keywords/>
  <dc:description/>
  <cp:lastModifiedBy>VrticVG</cp:lastModifiedBy>
  <cp:revision>150</cp:revision>
  <cp:lastPrinted>2023-10-24T10:16:00Z</cp:lastPrinted>
  <dcterms:created xsi:type="dcterms:W3CDTF">2014-12-02T08:46:00Z</dcterms:created>
  <dcterms:modified xsi:type="dcterms:W3CDTF">2024-09-24T16:09:00Z</dcterms:modified>
</cp:coreProperties>
</file>